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Приложение к приказу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9639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министерства образования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9639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9639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 20 августа 2024 г. № 1336-пр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Комплексный план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организационно-методической поддержке инфраструктуры национального проекта «Образование»*,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созданной и функционирующей на территории Ставропольского края, на 2024/25 учебный год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1816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1843"/>
        <w:gridCol w:w="4819"/>
        <w:gridCol w:w="2575"/>
      </w:tblGrid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№ п/п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Мероприятия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br w:type="textWrapping" w:clear="all"/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(при необходимости с кратким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br w:type="textWrapping" w:clear="all"/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описанием или ссылкой на нормативные/организационные документы)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Целевая аудитория, требования к участию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Сроки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right="28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проведе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ния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Ответственный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(подразделение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br w:type="textWrapping" w:clear="all"/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РОИВ/должностное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лицо/подведомственная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ffffff"/>
              </w:rPr>
              <w:t xml:space="preserve">организация)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1.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Проведение совместных мероприятий для обучающихся и педагогических работников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Торжественное открытие объектов инфраструктуры национального проекта «Образование»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общеобразовательных организаций, педагогические работники, представители органов муниципальных образований и городских округов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сентябрь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br w:type="textWrapping" w:clear="all"/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2024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образования Ставропольского края (далее – министерство),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руководители органов управлений образованием, руководители 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Организация участия обучающихся центров «Точка роста», детских технопарков «Кванториум», регионального центра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выявления, поддержки и развития способностей и талантов детей и молодежи Ставропольского края «Сириус 26» (далее – центр «Сириус 26») и общеобразовательных организаций в муниципальном и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региональном этапах Всероссийской олимпиады школьников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5-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11-х классов общеобразовательных организаций (по итогам школьного и муниципального этапов)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ноябрь-декабрь 2024/25 учебного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министерство,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руководители органов управления образованием, руководители общеобразовательных организаций,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объектов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инфраструктуры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Проведение мастер-классов по работе с оборудованием для педагогов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центров «Точка роста» и школьного технопарка «Кванториум»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 и обучающиеся центров «Точка роста»,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детского технопарка «Кванториум», детского технопарка «Кванториум» в г. Невинномысске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по отдельному графику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 непрерывного профессионального педагогического мастерства (далее – ЦНППМ),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АНО ДО «Детский технопарк «Кванториум» в городе Невинномысске»,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руководители органов управления образованием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Краевая межпредметная олимпиада «Вс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третимся в будущем»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 и обучающиеся центров «Точка роста»,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детского технопарка «Кванториум»,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2025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 непрерывного профессионального педагогического мастерства (далее – ЦНППМ),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объектов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инфраструктуры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Вовлечение обучающихся образовательных организаций Ставропольского края в мероприятия научно-технологической направленности: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проведение инженерных каникул на базе АНО ДО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в городе Невинномысске;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проведение тематических мастер-классов.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, центров «Точка роста», детского технопарка «Кванториум», детского технопарка «Кванториум» в г. Невинномысске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ноябрь – июль 2024/25 учебного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АНО ДО «Детский технопар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к «Кванториум» в городе Невинномысске», центры «Точка роста», школьный технопарк «Кванториум»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Вовлечение детей и молодежи в мероприятия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  <w:t xml:space="preserve">центра «Сириус 26»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по выявлению, сопровождению и развитию выдающихся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способностей и высокой мотивации у детей и молод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ежи на 2023/24 учебный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  <w:t xml:space="preserve">обучающиеся образовательных организаций, центров «Точка роста» школьного технопарка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  <w:t xml:space="preserve">«Кванториум»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 xml:space="preserve">по отдельному плану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  <w:t xml:space="preserve">центр «Сириус 26», руководители объектов инфраструктуры национального проекта «Образование», руководители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  <w:t xml:space="preserve">органов управления образованием, руководители образовательных организаций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Организация участия обучающихся в мастер-классах, проводимых центром «Сириус 26»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обучающиеся образовательных организаций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центр «Сириус 26», руководители объектов инфраструктуры национального проекта «Образование», руководители органов управления образованием, руководители образовательных организаций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Тренинг «Применение искусственного интеллекта для развития воображения»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на базе которых созданы и функционируют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центры «Точка роста», детские технопарки «Кванториум»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октябрь 2024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ГБОУ ВО «Ставропольский государственный педагогический институт»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Мастер-класс по созданию арт-объектов с использованием декоративных приемов и средств обработки материалов в рамках практических занятий по учебному предмету «Технология»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на базе которых созданы и функционируют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центры «Точка роста», детские технопарки «Кванториум»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«IT-куб»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ГБОУ ВО «Ставропольский государственный педагогический институт»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Научно-методический семинар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Точка роста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как ресурс формирования современных цифровых компетенций у обучающихся и педагогических работников»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педагогические работники центров «Точка роста» городов Железноводска, Пятигорска, Георгиевского и Минераловодского муниципальных округов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март 2025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ГБОУ ВО «Ставропольский государственный педагогический институт»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 г. Железноводске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Методический семинар для педагогов общеобразовательных организаций сельской местности и малых городов восточной зоны Ставропольского края «Практические аспекты реализации основных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общеобразовательных программ с использованием ресурсов Центров гуманитарного и цифрового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руководители, заместители руководителей и педагоги общеобразовательных организаций сельской местности и малых городов восточной зоны Ставропольского края, на базе которых созданы Центры гуманитарного и цифрового профилей «Точка роста»,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обучающиеся Филиала СГПИ в г. Буденновске.</w:t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январь 2025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Филиал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ГБОУ ВО «Ставропольский государственный педагогический институт»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в г. Буденновске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Направление 2. Организация и участие в региональных и межрегиональных конф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еренциях, фестивалях,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форумах по обмену опытом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Организация и проведение научно-методического семинара «От теории к практике» по повышению профессионального мастерства педагогов на площадках центров «Точка роста» и школьного технопарка «Кванториум» (межрегиональный уровень).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работники цен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тров «Точка роста»,  школьного технопарка «Кванториум»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ноябрь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2024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Турнир научно-исследовательских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работ команд центров «Точка роста» «Тур-НИР &amp; Ко».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команды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центров «Точка роста»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декабрь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2024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 межрегиональных конференциях, фестивалях, форумах по обмену опытом работы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 и наставники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iCs/>
                <w:color w:val="ff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color w:val="ff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органов управления образованием, руководители образовательных организаций, руководители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Организация площадок в рамках Международной научно-практической конференции «Современная техн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ика и технологии: исследования, разработки и их использование в комплексной подготовке специалистов» на базе АНО ДО «Кванториум» г. Невинномысск»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обучающиеся АНО ДО «Кванториум» в г. Невинномысске», обучающиеся общеобразовательных организаций г. Невинномыс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ска, центров «Точка роста»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март – апрель 2025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АНО ДО «Детский технопарк «Кванториум» в г. Невинномысске»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3.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Онлайн-семинар для педагогов и руководителей образовательных организаций «Национальный проект «Образование» ФГФУ «Центр просветительских инициатив Министерства просвещения Российской Федерации»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 и руководители объектов инфраструктуры национального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министерство,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объектов инфраструктуры национального проекта «Образование»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Организация участия педагогов школьного технопарка «Кванториум» и центров «Точка роста» в мероприятиях, проводимых ФГАОУ ВО «Государственный университет просвещения»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работники образовательных организаций Ставропольского края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ЦНППМ,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ководители центров «Точка роста», школьного технопарка «Кванториум»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Участие педагогов центра «ИТ-куб», детских технопарков «Кванториум», Мобильного технопарка «Кванториум» в повышении квалификации по программам федеральных операторов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административный и педагогический персонал центра «ИТ-куб», детских технопарков «Кванториум» в повышении квалификации по программам федеральных операторов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 по графикам федеральных операторов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центры ИТ-куб, детских технопарков «Кванториум», Мо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бильный технопарк «Кванториум»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4.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Популяризация национального проекта 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22"/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Создание видеороликов о результатах реализации национального проекта «Образование» в Ставропольском крае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 и обучающиеся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руководители объектов инфраструктуры национального проекта «Образование», министерство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Освещение мероприятий и достижений детей и педагогов в средствах массовой информации, социальных сетях, официальных сайтах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 и обучающиеся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постоянно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пресс-служба министерства, руководители объектов инфраструктуры национа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льного проекта «Образование», руководители органов управления образованием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Проведение дней открытых дверей в образовательных организациях, на базе которых созданы объекты инфраструктуры нацпроекта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педагоги, обучающиеся и их родители (законные представители)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в течение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руководители органов управления образованием, руководители 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Участие руководителей и специалистов объектов инфраструктуры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национального проекта «Образование» в краевом Университете педагогических знаний для родителей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и их родители (законные представители)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министерство, руководители объектов инфраструктуры национального п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Популяризация национального проекта «Образование» через работу Общественных советов при министерстве образования Ставропольского края и администраций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представители общественности края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министерство, руководители органов управления образованием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Консультационная поддержка по использованию модуля навигатора дополнительного образования детей «Мероприятия» в информационной системе «Навигатор дополнительного образования детей Ставропольского края»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педагоги, обучающиеся и их родители (законные представители)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Региональный модельный центр дополнительного образования детей Ставропольского края – филиал ГАОУ ВО «Невинномысский государственный гуманитарно-технический институт» (далее – РМЦ)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, руководители объектов инфраструктуры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национального проекта «Образование»,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органов управления образованием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5.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Поддержка реализации сетевых образовательных программ с использованием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Проведение дистанционных мастер-классов научно-технической направленности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обучающиеся и сотрудники центров «Точка Роста»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ГАОУ ДО «Центр для одарённых детей «Поиск», АНО ДО «Кванториум» в г. Невинномысске»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Организация деятельности и взаимодействия ассоциации школ-партнеров центра «Сириус 26»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общеобразовательных организаций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 «Сириус 26»,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руководители органов управления образованием, руководители образовательных организаций, ГАОУ ДО «Центр для одаренных детей «Поиск»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Вовлечение и организация участия детей и молодежи на конкурсной основе на обучение по профильным образовательным программам по направлениям деятельности центра «Сириус 26»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общеобразовательных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 «Сириус 26», руково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дители органов управления образованием, руководители образовательных организаций, руководители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Обучение на закрепленных территориях, проводимое мобильным технопарком «Кванториум» на территории муниципальных образований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общеобразовательных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учебного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ГАОУ ДО «Центр для одаренных детей «Поиск», руководители орган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ов управления образованием, руководители общеобразовательных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6.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Вовлечение обучающихся в различные формы сопровождения и наставничества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Организация и проведение региональных научно-практических семинаров по вопросам реализации системы наставничества в образовательных учреждениях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 и обучающиеся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региональный ц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ентр наставничества, руководители органов управления образованием, руководители объектов инфраструктуры национального проекта «Образование»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Проведение летних профильных смен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 и обучающиеся 6-9 классов общеобразовательных организаций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июнь-июль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2025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детские технопарки «Кванториум», «Сириус 26»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7.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Организация профориентационной деятельности обучающихся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Экскурсии на предприятия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педагоги, обучающиеся и их родители (законные представители)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ff0000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органов управления образованием, руководители объектов инфраструктуры национального проекта «Образование»</w:t>
            </w: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Профориентационные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мероприятия для обучающихся 7-10 классов по направлениям обучения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Биоквантум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и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Космоквантум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7-10 классов общеобразовательных организаций, обучающиеся центра «Точка роста» в г. Невинномысске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АНО ДО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в городе Невинномысске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Мастер-классы (знакомство с востребованными профессиями)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6-11 классов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АНО ДО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в городе Невинномысске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Организация и реализация проекта «Первая профессия школьника в Ставропольском крае»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общеобразовательных организаций (8-11 класс)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-8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сентябрь-декабрь 2024 года,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left="-8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март-июнь 2025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 опережающей профессиональной подготовки Ставропольского края (далее – ЦОПП)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Встречи руководителей профессиональных образовательных организаций с родителями обучающихся центров «Точка роста»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педагоги, центров «Точка роста», мастерских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по отдельному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 графику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министерство, руководители органов управления образованием, руководители ПОО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Профессиональные пробы на официальном сайте ЦОПП (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copp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26.ru)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6–11 классов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ЦОПП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Тестирование на определение профессиональной направленности на цифровой платформе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6–11 классов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ЦОПП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Профориентационные мероприятия для обучающихся 6-11 классов с использованием  общеразвивающих программ по направлениям: VR-разработчик в конструкторе Varwin XRMS, цифровой дизайн и профессиональное самоопределение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6–11 классов общеобразовательных организаций,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 центров «Точка Роста»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ЦОПП, руководители органов управления образованием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Вовлечение обучающихся в программы и мероприятия ранней профориентации, обеспечивающие ознакомление с современными профессиями и «профессиями будущего», поддержку профессионального самоопределения, формирование навыков планирования карьеры, включающие инст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 и образовательных организаций высшего образования, в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 том числе участие в программе Минпросвещения России по внедрению профориентационного минимума, в рамках проектов «Билет в будущее», «Проектория» и региональных чемпионатах «Профессионалы» и «Абилимпикс».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органов управления образованием, руководители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Мастер-классы (знакомство с востребованными профессиями)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6–11 классов общеобразовательных организаций, обучающиеся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центра «Сириус 26», обучающиеся центров «Точка Роста»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ЦОПП, руководители органов управления образованием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Вузовская олимпиада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Хрустальная сова» по учебным предметам из предметных областей «Естественно-научные предметы», «Естественные науки», «Обществознание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естествознание», «Математика и информатика»,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на базе которых созданы и функционируют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центры «Точка роста», детские технопарки «Кванториум»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«IT-куб»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ГБОУ ВО «Ставропольский государственный педагогический институт»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Проведение фестиваля «Академия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ПедМастерства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на базе которых созданы и функционируют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центры «Точка роста», детские технопарки «Кванториум»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«IT-куб»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апрель 2025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Филиал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ГБОУ ВО «Ставропольский государственный педагогический институт»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г. Ессентуки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Встречи с представителями компаний региона «Лицом к лицу»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общеобразовательных организаций и их родители (законные представители)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ЦОПП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8.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Развитие проектной деятельности обучающихся общеобразовательных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за счет ресурсов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22"/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Участие обучающихся в Региональном Хакатоне «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Digital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Space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и педагогические работники всех площадок, созданных в рамках реализации национального проекта «Образование», занимающиеся техническим творчеством детей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апрель-июнь 2025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ГАОУ ДО «Центр для одаренных детей «Поиск»,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руководители органов управ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ления образованием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, руководители площадок, созданных в рамках национального проекта «Образование»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Региональная научно-практическая конференция «Мой первый шаг в науку»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общеобразовательных организации, на базе которых созданы детские технопарки «Кванториум», образовательные центры «Точка роста» и «ИТ-куб»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апрель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 202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ЦОПП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Открытый Фестиваль исследовательских и проектных работ «Есть идея» на базе детского технопарка «Кванториум» г. Георгиевска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и педагогические работники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февраль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2025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МБОУ СОШ с углубленным изучением отдельных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предметов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№ 29 г. Георгиевска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Региональный конкурс «Здоровый урожай»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Обучающиеся общеобразовательных организаций, детский технопарк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Центры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ктябрь 2024 – май 2025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АНО ДО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в городе Невинномысске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Региональный трек (конкурс) Всероссийского конкурса научно-технологических проектов «Большие вызовы»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общеобразовательных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октябрь 2024 года - май 2025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ГАОУ ДО «Центр для одарённых детей «Поиск», центр «Сириус 26», руководители органов управления образованием, руководители образовательных организаций, руководители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Разработка и реализация программы курс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повышения квалификации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Проектная деятельность школьников в условиях современн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центр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образования естественнонаучной и технологической направленност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ей «Точка роста»,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детских технопарков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центров цифрового образования «IT-куб»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с выдачей удостоверения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педагогические работники центров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образования естественнонаучной и технологической направленност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ей «Точка роста»,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детских технопарков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Кванториум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центров цифрового образования «IT-куб»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ГБОУ ВО «Ставропольский государственный педагогический институт»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9.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Проведение обуч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ающих мероприятий по поддержке общеобразовательных организаций, показывающих низкие образовательные результаты с использованием инфраструктуры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Мастер-классы и другие мероприятия Мобильного технопарка «Кванториум» для обучающихся и педагогов общеобразовательных организаций с низкими результатами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обучающиеся и педагоги общеобразовательных организаций с низкими образовательными результатами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е года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ГАОУ ДО «Центр для одаренных детей «Поиск»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«Педагогический десант» на базе центров «Точка роста»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е года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по отдельному графику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ЦНППМ,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Стажировки для школьных команд  на базе центров «Точка роста»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низкие образовательные результаты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в течени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е года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по отдельному графику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ЦНППМ,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Программы ДПО «Отечественные цифровые решения для системы образования: ФГИС «Моя школа», ИКОП «Сферум» и др.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низкие образовательные результаты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сентябрь-октябрь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2024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ЦНППМ,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центр «Сириус 26»,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</w:r>
          </w:p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Направление 10.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Демонстрация эффективного опыта реализации образовательных программ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22"/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Региональный семинар «Навигатор успешных практик»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команды образовательных площадок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май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2025 года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ЦНППМ,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руководители органов управления образованием, руководители объектов инфраструктуры национального проекта «Образование»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Работа методического объединения педагогических работников детских технопарков «Кванториум»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педагогические работники детских технопарков «Кванториум»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по отдельному графику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ГАОУ ДО «Центр для одарённых детей «Поиск», д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етские технопарки «Кванториум»,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ЦНППМ 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Мастерская проектов «Открытый класс»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педагоги и обучающиеся центров «Точка роста», школьного технопарка «Кванториум»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март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2025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  <w:t xml:space="preserve">ЦНППМ, руководители органов управления образованием, руководители ПОО</w:t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Конкурс проектных работа «Ярмарка проектов»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обучающиеся детского технопарка «Кванториума» в г. Невинномысск», школ г. Невинномысска и Кочубеевского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2025</w:t>
            </w:r>
            <w:r>
              <w:rPr>
                <w:highlight w:val="white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АНО ДО «Кванториум» г. Невинномысск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Направление 11. Координация взаимодействия исполнительных органов, органов местного самоуправления и образовательных организаций по вопросам реализации национального проекта «Образование»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Проведение координационного совета по реализации национального проекта «Образование» на территории Ставропольского края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представители исполнительных органов различного уровня, органов местного самоуправления и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1 раз в полугодие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  <w:t xml:space="preserve">министерство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*В инфраструктуру национального проекта «Образование» на 2024/25 учебный год входят: центры образования «Точка роста», школьные технопарки «Кванториум», детские технопарки «Кванториум» в городах Ставрополь и Невинномысск, центр цифрового образования «</w:t>
      </w:r>
      <w:r>
        <w:rPr>
          <w:rFonts w:ascii="Times New Roman" w:hAnsi="Times New Roman"/>
          <w:sz w:val="28"/>
          <w:lang w:val="en-US"/>
        </w:rPr>
        <w:t xml:space="preserve">IT</w:t>
      </w:r>
      <w:r>
        <w:rPr>
          <w:rFonts w:ascii="Times New Roman" w:hAnsi="Times New Roman"/>
          <w:sz w:val="28"/>
        </w:rPr>
        <w:t xml:space="preserve">-куб</w:t>
      </w:r>
      <w:r>
        <w:rPr>
          <w:rFonts w:ascii="Times New Roman" w:hAnsi="Times New Roman"/>
          <w:sz w:val="28"/>
        </w:rPr>
        <w:t xml:space="preserve">», регионального центра выявления, поддержки и развития способностей и талантов детей и молодежи Ставропольского края «Сириус 26», центр непрерывного повышения профессионального мастерства педагогических работников, центр опережающей профессиональной подго</w:t>
      </w:r>
      <w:r>
        <w:rPr>
          <w:rFonts w:ascii="Times New Roman" w:hAnsi="Times New Roman"/>
          <w:sz w:val="28"/>
        </w:rPr>
        <w:t xml:space="preserve">товки Ставропольского края, региональный модельный центр, региональный цент наставничества, современные мастерские, общеобразовательные организации, реализующие адаптированные основные общеобразовательные программы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426" w:right="567" w:bottom="426" w:left="1985" w:header="720" w:footer="55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Segoe UI">
    <w:panose1 w:val="020B0503020203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Microsoft YaHe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right"/>
    </w:pPr>
    <w:r/>
    <w:r/>
  </w:p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</w:t>
    </w:r>
    <w:r>
      <w:fldChar w:fldCharType="end"/>
    </w:r>
    <w:r/>
  </w:p>
  <w:p>
    <w:pPr>
      <w:pStyle w:val="7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85" w:hanging="360"/>
        <w:tabs>
          <w:tab w:val="num" w:pos="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160" w:line="256" w:lineRule="auto"/>
    </w:pPr>
    <w:rPr>
      <w:rFonts w:ascii="Calibri" w:hAnsi="Calibri" w:eastAsia="Calibri"/>
      <w:sz w:val="22"/>
      <w:szCs w:val="22"/>
      <w:lang w:eastAsia="ar-SA"/>
    </w:rPr>
  </w:style>
  <w:style w:type="paragraph" w:styleId="691">
    <w:name w:val="Heading 1"/>
    <w:basedOn w:val="690"/>
    <w:next w:val="690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700"/>
    <w:uiPriority w:val="99"/>
  </w:style>
  <w:style w:type="character" w:styleId="717" w:customStyle="1">
    <w:name w:val="Caption Char"/>
    <w:uiPriority w:val="99"/>
  </w:style>
  <w:style w:type="character" w:styleId="718" w:customStyle="1">
    <w:name w:val="Footnote Text Char"/>
    <w:uiPriority w:val="99"/>
    <w:rPr>
      <w:sz w:val="18"/>
    </w:rPr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690"/>
    <w:qFormat/>
    <w:pPr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690"/>
    <w:next w:val="985"/>
    <w:link w:val="73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character" w:styleId="732" w:customStyle="1">
    <w:name w:val="Заголовок Знак"/>
    <w:link w:val="731"/>
    <w:uiPriority w:val="10"/>
    <w:rPr>
      <w:sz w:val="48"/>
      <w:szCs w:val="48"/>
    </w:rPr>
  </w:style>
  <w:style w:type="paragraph" w:styleId="733">
    <w:name w:val="Subtitle"/>
    <w:basedOn w:val="690"/>
    <w:next w:val="690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690"/>
    <w:next w:val="690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0"/>
    <w:next w:val="690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690"/>
    <w:link w:val="740"/>
    <w:uiPriority w:val="99"/>
    <w:pPr>
      <w:spacing w:after="0" w:line="240" w:lineRule="auto"/>
    </w:pPr>
  </w:style>
  <w:style w:type="character" w:styleId="740" w:customStyle="1">
    <w:name w:val="Верхний колонтитул Знак1"/>
    <w:link w:val="739"/>
    <w:uiPriority w:val="99"/>
  </w:style>
  <w:style w:type="paragraph" w:styleId="741">
    <w:name w:val="Footer"/>
    <w:basedOn w:val="690"/>
    <w:link w:val="744"/>
    <w:pPr>
      <w:spacing w:after="0" w:line="240" w:lineRule="auto"/>
    </w:pPr>
  </w:style>
  <w:style w:type="character" w:styleId="742" w:customStyle="1">
    <w:name w:val="Footer Char"/>
    <w:uiPriority w:val="99"/>
  </w:style>
  <w:style w:type="paragraph" w:styleId="743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 w:customStyle="1">
    <w:name w:val="Нижний колонтитул Знак1"/>
    <w:link w:val="741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690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690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690"/>
    <w:next w:val="690"/>
    <w:uiPriority w:val="39"/>
    <w:unhideWhenUsed/>
    <w:pPr>
      <w:spacing w:after="57"/>
    </w:pPr>
  </w:style>
  <w:style w:type="paragraph" w:styleId="879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80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81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2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3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4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5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6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690"/>
    <w:next w:val="690"/>
    <w:uiPriority w:val="99"/>
    <w:unhideWhenUsed/>
    <w:pPr>
      <w:spacing w:after="0"/>
    </w:pPr>
  </w:style>
  <w:style w:type="character" w:styleId="889" w:customStyle="1">
    <w:name w:val="WW8Num1z0"/>
  </w:style>
  <w:style w:type="character" w:styleId="890" w:customStyle="1">
    <w:name w:val="WW8Num1z1"/>
  </w:style>
  <w:style w:type="character" w:styleId="891" w:customStyle="1">
    <w:name w:val="WW8Num1z2"/>
  </w:style>
  <w:style w:type="character" w:styleId="892" w:customStyle="1">
    <w:name w:val="WW8Num1z3"/>
  </w:style>
  <w:style w:type="character" w:styleId="893" w:customStyle="1">
    <w:name w:val="WW8Num1z4"/>
  </w:style>
  <w:style w:type="character" w:styleId="894" w:customStyle="1">
    <w:name w:val="WW8Num1z5"/>
  </w:style>
  <w:style w:type="character" w:styleId="895" w:customStyle="1">
    <w:name w:val="WW8Num1z6"/>
  </w:style>
  <w:style w:type="character" w:styleId="896" w:customStyle="1">
    <w:name w:val="WW8Num1z7"/>
  </w:style>
  <w:style w:type="character" w:styleId="897" w:customStyle="1">
    <w:name w:val="WW8Num1z8"/>
  </w:style>
  <w:style w:type="character" w:styleId="898" w:customStyle="1">
    <w:name w:val="WW8Num2z0"/>
  </w:style>
  <w:style w:type="character" w:styleId="899" w:customStyle="1">
    <w:name w:val="WW8Num2z1"/>
  </w:style>
  <w:style w:type="character" w:styleId="900" w:customStyle="1">
    <w:name w:val="WW8Num2z2"/>
  </w:style>
  <w:style w:type="character" w:styleId="901" w:customStyle="1">
    <w:name w:val="WW8Num2z3"/>
  </w:style>
  <w:style w:type="character" w:styleId="902" w:customStyle="1">
    <w:name w:val="WW8Num2z4"/>
  </w:style>
  <w:style w:type="character" w:styleId="903" w:customStyle="1">
    <w:name w:val="WW8Num2z5"/>
  </w:style>
  <w:style w:type="character" w:styleId="904" w:customStyle="1">
    <w:name w:val="WW8Num2z6"/>
  </w:style>
  <w:style w:type="character" w:styleId="905" w:customStyle="1">
    <w:name w:val="WW8Num2z7"/>
  </w:style>
  <w:style w:type="character" w:styleId="906" w:customStyle="1">
    <w:name w:val="WW8Num2z8"/>
  </w:style>
  <w:style w:type="character" w:styleId="907" w:customStyle="1">
    <w:name w:val="WW8Num3z0"/>
    <w:rPr>
      <w:rFonts w:ascii="Symbol" w:hAnsi="Symbol" w:cs="Symbol"/>
    </w:rPr>
  </w:style>
  <w:style w:type="character" w:styleId="908" w:customStyle="1">
    <w:name w:val="WW8Num3z1"/>
    <w:rPr>
      <w:rFonts w:ascii="Courier New" w:hAnsi="Courier New" w:cs="Courier New"/>
    </w:rPr>
  </w:style>
  <w:style w:type="character" w:styleId="909" w:customStyle="1">
    <w:name w:val="WW8Num3z2"/>
    <w:rPr>
      <w:rFonts w:ascii="Wingdings" w:hAnsi="Wingdings" w:cs="Wingdings"/>
    </w:rPr>
  </w:style>
  <w:style w:type="character" w:styleId="910" w:customStyle="1">
    <w:name w:val="WW8Num4z0"/>
    <w:rPr>
      <w:rFonts w:ascii="Symbol" w:hAnsi="Symbol" w:cs="Symbol"/>
    </w:rPr>
  </w:style>
  <w:style w:type="character" w:styleId="911" w:customStyle="1">
    <w:name w:val="WW8Num4z1"/>
    <w:rPr>
      <w:rFonts w:ascii="Courier New" w:hAnsi="Courier New" w:cs="Courier New"/>
    </w:rPr>
  </w:style>
  <w:style w:type="character" w:styleId="912" w:customStyle="1">
    <w:name w:val="WW8Num4z2"/>
    <w:rPr>
      <w:rFonts w:ascii="Wingdings" w:hAnsi="Wingdings" w:cs="Wingdings"/>
    </w:rPr>
  </w:style>
  <w:style w:type="character" w:styleId="913" w:customStyle="1">
    <w:name w:val="WW8Num5z0"/>
  </w:style>
  <w:style w:type="character" w:styleId="914" w:customStyle="1">
    <w:name w:val="WW8Num5z1"/>
  </w:style>
  <w:style w:type="character" w:styleId="915" w:customStyle="1">
    <w:name w:val="WW8Num5z2"/>
  </w:style>
  <w:style w:type="character" w:styleId="916" w:customStyle="1">
    <w:name w:val="WW8Num5z3"/>
  </w:style>
  <w:style w:type="character" w:styleId="917" w:customStyle="1">
    <w:name w:val="WW8Num5z4"/>
  </w:style>
  <w:style w:type="character" w:styleId="918" w:customStyle="1">
    <w:name w:val="WW8Num5z5"/>
  </w:style>
  <w:style w:type="character" w:styleId="919" w:customStyle="1">
    <w:name w:val="WW8Num5z6"/>
  </w:style>
  <w:style w:type="character" w:styleId="920" w:customStyle="1">
    <w:name w:val="WW8Num5z7"/>
  </w:style>
  <w:style w:type="character" w:styleId="921" w:customStyle="1">
    <w:name w:val="WW8Num5z8"/>
  </w:style>
  <w:style w:type="character" w:styleId="922" w:customStyle="1">
    <w:name w:val="WW8Num6z0"/>
    <w:rPr>
      <w:rFonts w:ascii="Symbol" w:hAnsi="Symbol" w:cs="Symbol"/>
    </w:rPr>
  </w:style>
  <w:style w:type="character" w:styleId="923" w:customStyle="1">
    <w:name w:val="WW8Num6z1"/>
    <w:rPr>
      <w:rFonts w:ascii="Courier New" w:hAnsi="Courier New" w:cs="Courier New"/>
    </w:rPr>
  </w:style>
  <w:style w:type="character" w:styleId="924" w:customStyle="1">
    <w:name w:val="WW8Num6z2"/>
    <w:rPr>
      <w:rFonts w:ascii="Wingdings" w:hAnsi="Wingdings" w:cs="Wingdings"/>
    </w:rPr>
  </w:style>
  <w:style w:type="character" w:styleId="925" w:customStyle="1">
    <w:name w:val="WW8Num7z0"/>
  </w:style>
  <w:style w:type="character" w:styleId="926" w:customStyle="1">
    <w:name w:val="WW8Num7z1"/>
  </w:style>
  <w:style w:type="character" w:styleId="927" w:customStyle="1">
    <w:name w:val="WW8Num7z2"/>
  </w:style>
  <w:style w:type="character" w:styleId="928" w:customStyle="1">
    <w:name w:val="WW8Num7z3"/>
  </w:style>
  <w:style w:type="character" w:styleId="929" w:customStyle="1">
    <w:name w:val="WW8Num7z4"/>
  </w:style>
  <w:style w:type="character" w:styleId="930" w:customStyle="1">
    <w:name w:val="WW8Num7z5"/>
  </w:style>
  <w:style w:type="character" w:styleId="931" w:customStyle="1">
    <w:name w:val="WW8Num7z6"/>
  </w:style>
  <w:style w:type="character" w:styleId="932" w:customStyle="1">
    <w:name w:val="WW8Num7z7"/>
  </w:style>
  <w:style w:type="character" w:styleId="933" w:customStyle="1">
    <w:name w:val="WW8Num7z8"/>
  </w:style>
  <w:style w:type="character" w:styleId="934" w:customStyle="1">
    <w:name w:val="WW8Num8z0"/>
  </w:style>
  <w:style w:type="character" w:styleId="935" w:customStyle="1">
    <w:name w:val="WW8Num8z1"/>
  </w:style>
  <w:style w:type="character" w:styleId="936" w:customStyle="1">
    <w:name w:val="WW8Num8z2"/>
  </w:style>
  <w:style w:type="character" w:styleId="937" w:customStyle="1">
    <w:name w:val="WW8Num8z3"/>
  </w:style>
  <w:style w:type="character" w:styleId="938" w:customStyle="1">
    <w:name w:val="WW8Num8z4"/>
  </w:style>
  <w:style w:type="character" w:styleId="939" w:customStyle="1">
    <w:name w:val="WW8Num8z5"/>
  </w:style>
  <w:style w:type="character" w:styleId="940" w:customStyle="1">
    <w:name w:val="WW8Num8z6"/>
  </w:style>
  <w:style w:type="character" w:styleId="941" w:customStyle="1">
    <w:name w:val="WW8Num8z7"/>
  </w:style>
  <w:style w:type="character" w:styleId="942" w:customStyle="1">
    <w:name w:val="WW8Num8z8"/>
  </w:style>
  <w:style w:type="character" w:styleId="943" w:customStyle="1">
    <w:name w:val="WW8Num9z0"/>
  </w:style>
  <w:style w:type="character" w:styleId="944" w:customStyle="1">
    <w:name w:val="WW8Num9z1"/>
  </w:style>
  <w:style w:type="character" w:styleId="945" w:customStyle="1">
    <w:name w:val="WW8Num9z2"/>
  </w:style>
  <w:style w:type="character" w:styleId="946" w:customStyle="1">
    <w:name w:val="WW8Num9z3"/>
  </w:style>
  <w:style w:type="character" w:styleId="947" w:customStyle="1">
    <w:name w:val="WW8Num9z4"/>
  </w:style>
  <w:style w:type="character" w:styleId="948" w:customStyle="1">
    <w:name w:val="WW8Num9z5"/>
  </w:style>
  <w:style w:type="character" w:styleId="949" w:customStyle="1">
    <w:name w:val="WW8Num9z6"/>
  </w:style>
  <w:style w:type="character" w:styleId="950" w:customStyle="1">
    <w:name w:val="WW8Num9z7"/>
  </w:style>
  <w:style w:type="character" w:styleId="951" w:customStyle="1">
    <w:name w:val="WW8Num9z8"/>
  </w:style>
  <w:style w:type="character" w:styleId="952" w:customStyle="1">
    <w:name w:val="WW8Num10z0"/>
    <w:rPr>
      <w:rFonts w:ascii="Symbol" w:hAnsi="Symbol" w:cs="Symbol"/>
    </w:rPr>
  </w:style>
  <w:style w:type="character" w:styleId="953" w:customStyle="1">
    <w:name w:val="WW8Num10z1"/>
    <w:rPr>
      <w:rFonts w:ascii="Courier New" w:hAnsi="Courier New" w:cs="Courier New"/>
    </w:rPr>
  </w:style>
  <w:style w:type="character" w:styleId="954" w:customStyle="1">
    <w:name w:val="WW8Num10z2"/>
    <w:rPr>
      <w:rFonts w:ascii="Wingdings" w:hAnsi="Wingdings" w:cs="Wingdings"/>
    </w:rPr>
  </w:style>
  <w:style w:type="character" w:styleId="955" w:customStyle="1">
    <w:name w:val="WW8Num11z0"/>
  </w:style>
  <w:style w:type="character" w:styleId="956" w:customStyle="1">
    <w:name w:val="WW8Num11z1"/>
  </w:style>
  <w:style w:type="character" w:styleId="957" w:customStyle="1">
    <w:name w:val="WW8Num11z2"/>
  </w:style>
  <w:style w:type="character" w:styleId="958" w:customStyle="1">
    <w:name w:val="WW8Num11z3"/>
  </w:style>
  <w:style w:type="character" w:styleId="959" w:customStyle="1">
    <w:name w:val="WW8Num11z4"/>
  </w:style>
  <w:style w:type="character" w:styleId="960" w:customStyle="1">
    <w:name w:val="WW8Num11z5"/>
  </w:style>
  <w:style w:type="character" w:styleId="961" w:customStyle="1">
    <w:name w:val="WW8Num11z6"/>
  </w:style>
  <w:style w:type="character" w:styleId="962" w:customStyle="1">
    <w:name w:val="WW8Num11z7"/>
  </w:style>
  <w:style w:type="character" w:styleId="963" w:customStyle="1">
    <w:name w:val="WW8Num11z8"/>
  </w:style>
  <w:style w:type="character" w:styleId="964" w:customStyle="1">
    <w:name w:val="WW8Num12z0"/>
    <w:rPr>
      <w:rFonts w:ascii="Symbol" w:hAnsi="Symbol" w:cs="Symbol"/>
    </w:rPr>
  </w:style>
  <w:style w:type="character" w:styleId="965" w:customStyle="1">
    <w:name w:val="WW8Num12z1"/>
    <w:rPr>
      <w:rFonts w:ascii="Courier New" w:hAnsi="Courier New" w:cs="Courier New"/>
    </w:rPr>
  </w:style>
  <w:style w:type="character" w:styleId="966" w:customStyle="1">
    <w:name w:val="WW8Num12z2"/>
    <w:rPr>
      <w:rFonts w:ascii="Wingdings" w:hAnsi="Wingdings" w:cs="Wingdings"/>
    </w:rPr>
  </w:style>
  <w:style w:type="character" w:styleId="967" w:customStyle="1">
    <w:name w:val="WW8Num13z0"/>
  </w:style>
  <w:style w:type="character" w:styleId="968" w:customStyle="1">
    <w:name w:val="WW8Num13z1"/>
  </w:style>
  <w:style w:type="character" w:styleId="969" w:customStyle="1">
    <w:name w:val="WW8Num13z2"/>
  </w:style>
  <w:style w:type="character" w:styleId="970" w:customStyle="1">
    <w:name w:val="WW8Num13z3"/>
  </w:style>
  <w:style w:type="character" w:styleId="971" w:customStyle="1">
    <w:name w:val="WW8Num13z4"/>
  </w:style>
  <w:style w:type="character" w:styleId="972" w:customStyle="1">
    <w:name w:val="WW8Num13z5"/>
  </w:style>
  <w:style w:type="character" w:styleId="973" w:customStyle="1">
    <w:name w:val="WW8Num13z6"/>
  </w:style>
  <w:style w:type="character" w:styleId="974" w:customStyle="1">
    <w:name w:val="WW8Num13z7"/>
  </w:style>
  <w:style w:type="character" w:styleId="975" w:customStyle="1">
    <w:name w:val="WW8Num13z8"/>
  </w:style>
  <w:style w:type="character" w:styleId="976" w:customStyle="1">
    <w:name w:val="Основной шрифт абзаца1"/>
  </w:style>
  <w:style w:type="character" w:styleId="977" w:customStyle="1">
    <w:name w:val="Неразрешенное упоминание1"/>
    <w:rPr>
      <w:color w:val="605e5c"/>
      <w:shd w:val="clear" w:color="auto" w:fill="e1dfdd"/>
    </w:rPr>
  </w:style>
  <w:style w:type="character" w:styleId="978" w:customStyle="1">
    <w:name w:val="Знак примечания1"/>
    <w:rPr>
      <w:sz w:val="16"/>
      <w:szCs w:val="16"/>
    </w:rPr>
  </w:style>
  <w:style w:type="character" w:styleId="979" w:customStyle="1">
    <w:name w:val="Текст примечания Знак"/>
    <w:rPr>
      <w:sz w:val="20"/>
      <w:szCs w:val="20"/>
    </w:rPr>
  </w:style>
  <w:style w:type="character" w:styleId="980" w:customStyle="1">
    <w:name w:val="Тема примечания Знак"/>
    <w:rPr>
      <w:b/>
      <w:bCs/>
      <w:sz w:val="20"/>
      <w:szCs w:val="20"/>
    </w:rPr>
  </w:style>
  <w:style w:type="character" w:styleId="981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982" w:customStyle="1">
    <w:name w:val="Неразрешенное упоминание2"/>
    <w:rPr>
      <w:color w:val="605e5c"/>
      <w:shd w:val="clear" w:color="auto" w:fill="e1dfdd"/>
    </w:rPr>
  </w:style>
  <w:style w:type="character" w:styleId="983" w:customStyle="1">
    <w:name w:val="Верхний колонтитул Знак"/>
    <w:basedOn w:val="976"/>
    <w:uiPriority w:val="99"/>
  </w:style>
  <w:style w:type="character" w:styleId="984" w:customStyle="1">
    <w:name w:val="Нижний колонтитул Знак"/>
    <w:basedOn w:val="976"/>
  </w:style>
  <w:style w:type="paragraph" w:styleId="985">
    <w:name w:val="Body Text"/>
    <w:basedOn w:val="690"/>
    <w:pPr>
      <w:spacing w:after="120"/>
    </w:pPr>
  </w:style>
  <w:style w:type="paragraph" w:styleId="986">
    <w:name w:val="List"/>
    <w:basedOn w:val="985"/>
    <w:rPr>
      <w:rFonts w:cs="Arial"/>
    </w:rPr>
  </w:style>
  <w:style w:type="paragraph" w:styleId="987" w:customStyle="1">
    <w:name w:val="Название1"/>
    <w:basedOn w:val="69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8" w:customStyle="1">
    <w:name w:val="Указатель1"/>
    <w:basedOn w:val="690"/>
    <w:pPr>
      <w:suppressLineNumbers/>
    </w:pPr>
    <w:rPr>
      <w:rFonts w:cs="Arial"/>
    </w:rPr>
  </w:style>
  <w:style w:type="paragraph" w:styleId="989" w:customStyle="1">
    <w:name w:val="Текст примечания1"/>
    <w:basedOn w:val="690"/>
    <w:pPr>
      <w:spacing w:line="240" w:lineRule="auto"/>
    </w:pPr>
    <w:rPr>
      <w:sz w:val="20"/>
      <w:szCs w:val="20"/>
    </w:rPr>
  </w:style>
  <w:style w:type="paragraph" w:styleId="990">
    <w:name w:val="annotation subject"/>
    <w:basedOn w:val="989"/>
    <w:next w:val="989"/>
    <w:rPr>
      <w:b/>
      <w:bCs/>
    </w:rPr>
  </w:style>
  <w:style w:type="paragraph" w:styleId="991">
    <w:name w:val="Balloon Text"/>
    <w:basedOn w:val="6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92" w:customStyle="1">
    <w:name w:val="formattext"/>
    <w:basedOn w:val="690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993" w:customStyle="1">
    <w:name w:val="Содержимое таблицы"/>
    <w:basedOn w:val="690"/>
    <w:pPr>
      <w:suppressLineNumbers/>
    </w:pPr>
  </w:style>
  <w:style w:type="paragraph" w:styleId="994" w:customStyle="1">
    <w:name w:val="Заголовок таблицы"/>
    <w:basedOn w:val="993"/>
    <w:pPr>
      <w:jc w:val="center"/>
    </w:pPr>
    <w:rPr>
      <w:b/>
      <w:bCs/>
    </w:rPr>
  </w:style>
  <w:style w:type="character" w:styleId="995">
    <w:name w:val="line number"/>
    <w:uiPriority w:val="99"/>
    <w:semiHidden/>
    <w:unhideWhenUsed/>
  </w:style>
  <w:style w:type="paragraph" w:styleId="996" w:customStyle="1">
    <w:name w:val="Normal (Web)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3553-10AD-4DDF-8F5E-1C21526C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revision>79</cp:revision>
  <dcterms:created xsi:type="dcterms:W3CDTF">2023-08-22T12:53:00Z</dcterms:created>
  <dcterms:modified xsi:type="dcterms:W3CDTF">2024-09-04T15:53:15Z</dcterms:modified>
  <cp:version>1048576</cp:version>
</cp:coreProperties>
</file>